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UNIVERSITATEA</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FACULTATEA</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de Științe Politice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DEPARTAMENTUL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Științe Politice și Studii Europene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567"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DOMENIUL DE STUDII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Relații Internaționale și Studii Europene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567"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PROGRAMUL DE STUDII</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(Specializarea): RISE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567"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bCs w:val="1"/>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FIŞA DISCIPLINEI</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bCs w:val="1"/>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Organizații Internaționale (OI)</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Statutul disciplinei</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obligatorie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opţională</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facultativă</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Nivelul de studii</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Licenţă</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Masterat</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Doctorat</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Anul de studii</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single"/>
          <w:shd w:fill="auto" w:val="clear"/>
          <w:vertAlign w:val="baseline"/>
          <w:rtl w:val="0"/>
        </w:rPr>
        <w:t xml:space="preserve">2</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Semestrul</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single"/>
          <w:shd w:fill="auto" w:val="clear"/>
          <w:vertAlign w:val="baseline"/>
          <w:rtl w:val="0"/>
        </w:rPr>
        <w:t xml:space="preserve">1</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Conf. Univ. Dr. Radu Cucută</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Ind w:w="-115.0" w:type="dxa"/>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1"/>
          <w:trHeight w:val="159" w:hRule="atLeast"/>
          <w:tblHeader w:val="1"/>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1"/>
          <w:trHeight w:val="159" w:hRule="atLeast"/>
          <w:tblHeader w:val="1"/>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1"/>
          <w:trHeight w:val="159" w:hRule="atLeast"/>
          <w:tblHeader w:val="1"/>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SI=41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S=14, SI=42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5</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O1: Utilizarea conceptelor fundamentale ale relațiilor internaționale pentru descrierea şi explicarea rolului organizaţiilor internaţionale în viața internațională;</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O2: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Înțelegerea şi explicarea dimensiunii instituționale a relațiilor internaționale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O3: Utilizarea conceptelor fundamentale și teoriilor relaţiilor internaţionale în analiza organizaţiilor, instituţiilor şi regimurilor internaţionale;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O4: Utilizarea informațiilor specifice oferite de disciplină pentru evaluarea activității unor organizaţii şi instituţii, a unor dinamici, evenimente sau procese internaţionale.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tbl>
      <w:tblPr>
        <w:tblStyle w:val="Table2"/>
        <w:tblW w:w="9639.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rPr>
          <w:cantSplit w:val="1"/>
          <w:tblHeader w:val="1"/>
        </w:trPr>
        <w:tc>
          <w:tcPr>
            <w:shd w:fill="auto" w:val="cle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disciplină</w:t>
            </w:r>
          </w:p>
        </w:tc>
      </w:tr>
      <w:tr>
        <w:trPr>
          <w:cantSplit w:val="1"/>
          <w:tblHeader w:val="1"/>
        </w:trPr>
        <w:tc>
          <w:tcPr>
            <w:shd w:fill="auto" w:val="cle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 în relațiile internaționale</w:t>
            </w:r>
          </w:p>
        </w:tc>
      </w:tr>
      <w:tr>
        <w:trPr>
          <w:cantSplit w:val="1"/>
          <w:tblHeader w:val="1"/>
        </w:trPr>
        <w:tc>
          <w:tcPr>
            <w:shd w:fill="auto"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Istorie universală modernă și contemporană</w:t>
            </w:r>
          </w:p>
        </w:tc>
      </w:tr>
    </w:tb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Aplicarea conceptelor teoretice pentru înţelegerea şi explicarea organizaţiilor şi instituţiilor internaţionale;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(C2):</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metodelor de cercetare specifice relaţiilor internaţionale pentru studiul organizaţiilor şi instituţiilor internaţionale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(C3):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conceptelor fundamentale specifice disciplinei pentru înţelegerea şi explicarea funcţionării şi eficienţei unor organizaţii, instituţii şi regimuri internaţionale;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Susţinerea şi promovarea valorilor democratice şi a culturii politice participative.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bl>
      <w:tblPr>
        <w:tblStyle w:val="Table3"/>
        <w:tblW w:w="90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Elaborarea fişei disciplinei Organizații Internaționale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bl>
      <w:tblPr>
        <w:tblStyle w:val="Table4"/>
        <w:tblW w:w="90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Rezultatele învățării</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Cunoștințe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C9: Studentul/Absolventul descrie și analizează concepte, teorii și paradigme utilizate în domeniul relațiilor internaționale.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Aptitudini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A3: Studentul/Absolventul aplică principiile etice fundamentale și legislația în domeniul cercetării științifice, inclusiv în ceea ce privește aspectele legate de integritatea cercetării. Efectuează, revizuiește sau raportează cercetări, evitând comportamentele greșite, cum ar fi fabricarea, falsificarea și plagiatul.</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Responsabilitate și autonomie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tbl>
      <w:tblPr>
        <w:tblStyle w:val="Table5"/>
        <w:tblW w:w="9165.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5"/>
        <w:gridCol w:w="3135"/>
        <w:gridCol w:w="4065"/>
        <w:gridCol w:w="1110"/>
        <w:tblGridChange w:id="0">
          <w:tblGrid>
            <w:gridCol w:w="855"/>
            <w:gridCol w:w="3135"/>
            <w:gridCol w:w="4065"/>
            <w:gridCol w:w="1110"/>
          </w:tblGrid>
        </w:tblGridChange>
      </w:tblGrid>
      <w:tr>
        <w:trPr>
          <w:cantSplit w:val="1"/>
          <w:tblHeader w:val="1"/>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w:t>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Conţinuturi</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Nr. ore</w:t>
            </w:r>
          </w:p>
        </w:tc>
      </w:tr>
      <w:tr>
        <w:trPr>
          <w:cantSplit w:val="1"/>
          <w:tblHeader w:val="1"/>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 Existenţa organizaţiilor în sistemul internaţional anarhic</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Anarhie şi suveranitate;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Dilema securităţii. Folosirea teoriei jocurilor pentru explicarea acesteia;</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Perspective teoretice asupra relaţiilor de putere;</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Distincţia dintre instituţii şi organizaţii. </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SI=0h</w:t>
            </w:r>
          </w:p>
        </w:tc>
      </w:tr>
      <w:tr>
        <w:trPr>
          <w:cantSplit w:val="1"/>
          <w:tblHeader w:val="1"/>
        </w:trPr>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Organizaţiile internaţionale ca actori internaţionali</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Clasificarea organizaţiilor</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internaţionale;</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Constituirea organizaţiilor</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internaţionale;</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Membrii, structura şi</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funcţionarea organizaţiilor</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internaţionale;</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Drept internaţional şi</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organizaţii internaţionale.</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[C3]</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Liberalism şi securitate colectivă. Organizaţia Naţiunilor Unite (I)</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Perspectiva liberală asupra securităţii;</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Evoluţia conceptului de securitate colectivă;</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Liga Naţiunilor;</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Organizaţia Naţiunilor Unite şi evoluţia ei. Diferenţe faţă de Liga Naţiunilor;</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Sistemul Bretton Woods;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Constituire, scopuri şi principii, membri, organe,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Direcţii principale de activitate. </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[C4]</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Organizaţia Naţiunilor Unite (II)</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Instituţii specializate ale ONU;</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Millenium Development Goals;</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Dezbaterile cu privire la eficienţa şi reformarea ONU;</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Organizaţii internaţionale cu competenţe speciale;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Organizaţia Mondială a Comerţului (OMC);</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Organizaţia pentru Cooperare şi Dezvoltare Economică (OCDE).</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[C5]</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Moralitate, norme şi drept internaţional</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Rolul normelor în Relaţiile Internaţionale;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Moralitatea în Relaţiile Internaţionale;</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Principiile războiului drept;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Tribunalul Penal Internaţional;</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Curtea Internaţională de Justiţie. </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[C6]</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Realismul şi balanţa de putere. Politica de alianţe. Formarea Organizaţiei Tratatului Atlanticului de Nord (NATO)</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Viziunea realistă asupra relaţiilor internaţionale;</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Teorii ale alianţelor;</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Explicaţia realistă şi explicaţia neorealistă cu privire la formarea NATO.</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[C7]</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Organizaţia Tratatului Atlanticului de Nord (I)</w:t>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Constituire, compunere, obiective, principii, structură organizatorică, concepte strategice post-Război Rece;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Dezbaterea cu privire la natura şi la cauzele supravieţuirii NATO;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Principalele concepte strategice;</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Parteneriatul pentru Pace;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Valurile extinderii NATO. </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[C8]</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Organizaţia Tratatului Atlanticului de Nord (II)</w:t>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Dialogul Mediteranean;</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Acţiunile în principalele teatre de operaţii.</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Relaţiile cu Federaţia Rusă şi Ucraina;</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Consolidarea flancului estic al organizației;</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Finanţare şi planificare strategică;</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Dezbaterile cu privire la viitorul şi utilitatea alianţei.</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[C8]</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Şcoala engleză şi ordinea internaţională</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Obiective ordinii internaţionale;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Societatea internaţională;</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Regimurile internaţionale şi regimurile de securitate.  </w:t>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[C9]</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Regimuri internaţionale</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Definirea şi conceptualizarea regimurilor internaţionale;</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Dezbaterea neo-neo;</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Perspective liberale şi perspective realiste cu privire la formarea regimurilor internaţionale;</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Dezarmare şi controlul armamentului;</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Tratatul de neproliferare;</w:t>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[C10]</w:t>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Uniunea Europeană</w:t>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Politicile privind securitatea, apărarea și vecinătatea: PESC, PESA şi PEV;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Relațiile și cooperarea UE-NATO în sfera securităţii și apărării;</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Relațiile UE cu Federația Rusă;</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Parteneriatul Estic.</w:t>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[C11]</w:t>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Comunităţi de securitate</w:t>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Extinderea conceptului de securitate;</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Comunităţi amalgamate de securitate.</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[C12]</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Dialog internaţional şi organizaţii economice internaţionale</w:t>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G7 şi G20;</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BRICS;</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GATT şi OMC;</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FMI şi Banca Mondială</w:t>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blHeader w:val="1"/>
        </w:trPr>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[C13]</w:t>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Organizaţii internaţionale regionale</w:t>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Organizaţia Statelor Americane (OSA);</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Asociaţia Naţiunilor Asiei de Sud-Est (ASEAN)</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Organizaţia de Cooperare de la Shanghai.</w:t>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SI=2h</w:t>
            </w:r>
          </w:p>
        </w:tc>
      </w:tr>
      <w:tr>
        <w:trPr>
          <w:cantSplit w:val="1"/>
          <w:tblHeader w:val="1"/>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[C14]</w:t>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Organizaţii internaţionale din Orientul Mijlociu (II)</w:t>
            </w:r>
          </w:p>
        </w:tc>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Consiliul de Cooperare al Golfului.</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Liga Arabă; </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Organizația Țărilor Exportatoare de Petrol (OPEC). </w:t>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1"/>
          <w:trHeight w:val="623" w:hRule="atLeast"/>
          <w:tblHeader w:val="1"/>
        </w:trPr>
        <w:tc>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Total ore</w:t>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C=28</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SI=41</w:t>
            </w:r>
          </w:p>
        </w:tc>
      </w:tr>
    </w:tbl>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Aplicaţii</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tbl>
      <w:tblPr>
        <w:tblStyle w:val="Table6"/>
        <w:tblW w:w="9375.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3990"/>
        <w:gridCol w:w="3420"/>
        <w:gridCol w:w="1260"/>
        <w:tblGridChange w:id="0">
          <w:tblGrid>
            <w:gridCol w:w="705"/>
            <w:gridCol w:w="3990"/>
            <w:gridCol w:w="3420"/>
            <w:gridCol w:w="1260"/>
          </w:tblGrid>
        </w:tblGridChange>
      </w:tblGrid>
      <w:tr>
        <w:trPr>
          <w:cantSplit w:val="1"/>
          <w:tblHeader w:val="1"/>
        </w:trPr>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w:t>
            </w:r>
          </w:p>
        </w:tc>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w:t>
            </w:r>
          </w:p>
        </w:tc>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Conţinuturi</w:t>
            </w:r>
          </w:p>
        </w:tc>
        <w:tc>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Nr. ore</w:t>
            </w:r>
          </w:p>
        </w:tc>
      </w:tr>
      <w:tr>
        <w:trPr>
          <w:cantSplit w:val="1"/>
          <w:tblHeader w:val="1"/>
        </w:trPr>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w:t>
            </w:r>
          </w:p>
        </w:tc>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Prezentarea listei de texte de seminar şi a activităţilor ce vor fi desfăşurate pe parcursul semestrului.</w:t>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SI=0h</w:t>
            </w:r>
          </w:p>
        </w:tc>
      </w:tr>
      <w:tr>
        <w:trPr>
          <w:cantSplit w:val="1"/>
          <w:trHeight w:val="990" w:hRule="atLeast"/>
          <w:tblHeader w:val="1"/>
        </w:trPr>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w:t>
            </w:r>
          </w:p>
        </w:tc>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Caracteristici generale ale organizaţiilor internaţionale, distincții conceptuale, evoluţia organizaţiilor internaţionale</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Discutarea distincţiei dintre instituţii şi organizaţii; </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Studiu de caz: Concertul Europei</w:t>
            </w:r>
          </w:p>
        </w:tc>
        <w:tc>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SI=6h</w:t>
            </w:r>
          </w:p>
        </w:tc>
      </w:tr>
      <w:tr>
        <w:trPr>
          <w:cantSplit w:val="1"/>
          <w:tblHeader w:val="1"/>
        </w:trPr>
        <w:tc>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[S3]</w:t>
            </w:r>
          </w:p>
        </w:tc>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Cum studiem Organizaţiile Internaţionale (1)</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Perspective teoretice asupra formării şi rolului Organizaţiilor Internaţionale</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Perspectiva realistă şi perspectiva instituţionalistă </w:t>
            </w:r>
          </w:p>
        </w:tc>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SI=6h</w:t>
            </w:r>
          </w:p>
        </w:tc>
      </w:tr>
      <w:tr>
        <w:trPr>
          <w:cantSplit w:val="1"/>
          <w:tblHeader w:val="1"/>
        </w:trPr>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[S4]</w:t>
            </w:r>
          </w:p>
        </w:tc>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Cum studiem Organizaţiile Internaţionale (2)</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Constructivismul social.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Studiu de caz: Campania internațională pentru interzicerea minelor antipersonal</w:t>
            </w:r>
          </w:p>
        </w:tc>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SI=6h</w:t>
            </w:r>
          </w:p>
        </w:tc>
      </w:tr>
      <w:tr>
        <w:trPr>
          <w:cantSplit w:val="1"/>
          <w:tblHeader w:val="1"/>
        </w:trPr>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[S5]</w:t>
            </w:r>
          </w:p>
        </w:tc>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Alianţe şi regimuri internaţionale</w:t>
            </w:r>
          </w:p>
        </w:tc>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Geneza şi evoluţia distinctă a regimurilor şi alianţelor</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Studiu de caz: NATO</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Studiu de caz: Tratatul de non-proliferare</w:t>
            </w:r>
          </w:p>
        </w:tc>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SI=6h</w:t>
            </w:r>
          </w:p>
        </w:tc>
      </w:tr>
      <w:tr>
        <w:trPr>
          <w:cantSplit w:val="1"/>
          <w:trHeight w:val="1166" w:hRule="atLeast"/>
          <w:tblHeader w:val="1"/>
        </w:trPr>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[S6]</w:t>
            </w:r>
          </w:p>
        </w:tc>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Ordine şi/sau justiţie internaţională</w:t>
            </w:r>
          </w:p>
        </w:tc>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1d2125"/>
                <w:highlight w:val="white"/>
                <w:u w:val="none"/>
                <w:vertAlign w:val="baseline"/>
              </w:rPr>
            </w:pPr>
            <w:r w:rsidDel="00000000" w:rsidR="00000000" w:rsidRPr="00000000">
              <w:rPr>
                <w:rFonts w:ascii="Times New Roman" w:cs="Times New Roman" w:eastAsia="Times New Roman" w:hAnsi="Times New Roman"/>
                <w:i w:val="0"/>
                <w:iCs w:val="0"/>
                <w:smallCaps w:val="0"/>
                <w:strike w:val="0"/>
                <w:color w:val="1d2125"/>
                <w:highlight w:val="white"/>
                <w:u w:val="none"/>
                <w:vertAlign w:val="baseline"/>
                <w:rtl w:val="0"/>
              </w:rPr>
              <w:t xml:space="preserve">- Perspectiva pluralistă și rolul curților internaționale</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1d2125"/>
                <w:highlight w:val="white"/>
                <w:u w:val="none"/>
                <w:vertAlign w:val="baseline"/>
                <w:rtl w:val="0"/>
              </w:rPr>
              <w:t xml:space="preserve">- Studiu de caz: Curtea Penală Internațională</w:t>
            </w:r>
            <w:r w:rsidDel="00000000" w:rsidR="00000000" w:rsidRPr="00000000">
              <w:rPr>
                <w:rtl w:val="0"/>
              </w:rPr>
            </w:r>
          </w:p>
        </w:tc>
        <w:tc>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SI=6h</w:t>
            </w:r>
          </w:p>
        </w:tc>
      </w:tr>
      <w:tr>
        <w:trPr>
          <w:cantSplit w:val="1"/>
          <w:trHeight w:val="915" w:hRule="atLeast"/>
          <w:tblHeader w:val="1"/>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[S7]</w:t>
            </w:r>
          </w:p>
        </w:tc>
        <w:tc>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Rolul Uniunii Europene în politica internaţională</w:t>
            </w:r>
          </w:p>
        </w:tc>
        <w:tc>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Natura complexă a UE</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Studiu de caz: Declaraţia Schumann. </w:t>
            </w:r>
          </w:p>
        </w:tc>
        <w:tc>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SI=6h</w:t>
            </w:r>
          </w:p>
        </w:tc>
      </w:tr>
      <w:tr>
        <w:trPr>
          <w:cantSplit w:val="1"/>
          <w:trHeight w:val="319" w:hRule="atLeast"/>
          <w:tblHeader w:val="1"/>
        </w:trPr>
        <w:tc>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Total ore</w:t>
            </w:r>
          </w:p>
        </w:tc>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S=14h</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SI=42h</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 EVALUARE</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1. Forme de evaluare si pondere:</w:t>
      </w:r>
    </w:p>
    <w:tbl>
      <w:tblPr>
        <w:tblStyle w:val="Table7"/>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1"/>
          <w:tblHeader w:val="1"/>
        </w:trPr>
        <w:tc>
          <w:tcPr>
            <w:shd w:fill="auto" w:val="clea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Componente disciplină</w:t>
            </w:r>
          </w:p>
        </w:tc>
        <w:tc>
          <w:tcPr>
            <w:shd w:fill="auto" w:val="clea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Forme de evaluare</w:t>
            </w:r>
          </w:p>
        </w:tc>
        <w:tc>
          <w:tcPr>
            <w:shd w:fill="auto" w:val="cle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Pondere</w:t>
            </w:r>
          </w:p>
        </w:tc>
      </w:tr>
      <w:tr>
        <w:trPr>
          <w:cantSplit w:val="1"/>
          <w:tblHeader w:val="1"/>
        </w:trPr>
        <w:tc>
          <w:tcPr>
            <w:shd w:fill="auto" w:val="clea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w:t>
            </w:r>
          </w:p>
        </w:tc>
        <w:tc>
          <w:tcPr>
            <w:shd w:fill="auto" w:val="cle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Finală</w:t>
            </w:r>
          </w:p>
        </w:tc>
        <w:tc>
          <w:tcPr>
            <w:shd w:fill="auto" w:val="cle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50%</w:t>
            </w:r>
          </w:p>
        </w:tc>
      </w:tr>
      <w:tr>
        <w:trPr>
          <w:cantSplit w:val="1"/>
          <w:tblHeader w:val="1"/>
        </w:trPr>
        <w:tc>
          <w:tcPr>
            <w:shd w:fill="auto" w:val="clea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w:t>
            </w:r>
          </w:p>
        </w:tc>
        <w:tc>
          <w:tcPr>
            <w:shd w:fill="auto" w:val="cle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Continuă (prezentări, eseu academic)</w:t>
            </w:r>
          </w:p>
        </w:tc>
        <w:tc>
          <w:tcPr>
            <w:shd w:fill="auto" w:val="clea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50%</w:t>
            </w:r>
          </w:p>
        </w:tc>
      </w:tr>
    </w:tbl>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2. Standarde de performanță raportate la competențe:</w:t>
      </w:r>
    </w:p>
    <w:tbl>
      <w:tblPr>
        <w:tblStyle w:val="Table8"/>
        <w:tblW w:w="9781.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1"/>
          <w:tblHeader w:val="1"/>
        </w:trPr>
        <w:tc>
          <w:tcPr>
            <w:shd w:fill="auto" w:val="clea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Tip standard</w:t>
            </w:r>
          </w:p>
        </w:tc>
        <w:tc>
          <w:tcPr>
            <w:shd w:fill="auto" w:val="clea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Descriere standard</w:t>
            </w:r>
          </w:p>
        </w:tc>
      </w:tr>
      <w:tr>
        <w:trPr>
          <w:cantSplit w:val="1"/>
          <w:trHeight w:val="330" w:hRule="atLeast"/>
          <w:tblHeader w:val="1"/>
        </w:trPr>
        <w:tc>
          <w:tcPr>
            <w:shd w:fill="auto" w:val="cle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Minim (media 5)</w:t>
            </w:r>
          </w:p>
        </w:tc>
        <w:tc>
          <w:tcPr>
            <w:shd w:fill="auto" w:val="clea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adecvată a următoarelor concepte: organizaţie internaţională, regim internaţional, instituţie internaţional, ordine internaţională, societate internaţională</w:t>
            </w:r>
          </w:p>
        </w:tc>
      </w:tr>
      <w:tr>
        <w:trPr>
          <w:cantSplit w:val="1"/>
          <w:trHeight w:val="315" w:hRule="atLeast"/>
          <w:tblHeader w:val="1"/>
        </w:trPr>
        <w:tc>
          <w:tcPr>
            <w:shd w:fill="auto" w:val="clea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Maxim (media 10)</w:t>
            </w:r>
          </w:p>
        </w:tc>
        <w:tc>
          <w:tcPr>
            <w:shd w:fill="auto" w:val="clea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metodelor de cercetare specifice relaţiilor internaţionale în explicarea şi înţelegerea unor instituţii sau organizaţii internaţionale contemporane;</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Folosirea teoriilor şi conceptelor din studiul organizaţiilor internaţionale pentru a explica evenimente, dinamici și procese actuale de politică externă, regională şi internaţională.</w:t>
            </w:r>
          </w:p>
        </w:tc>
      </w:tr>
    </w:tbl>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1) Strategia didactică</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Strategia didactică utilizată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Strategia didactică folosită în cadrul cursului de Organizații internaţionale porneşte de la premisa legăturii strânse între dimensiunea teoretică şi capacitatea de înţelegere şi explicare a dimensiunii empirice. Cursul se bazează pe o strategie interactivă, axată pe dezbaterea conceptelor și teoriilor importante, încercând să insufle o înțelegere mai profundă, prin utilizarea resurselor, materialelor și metodelor convenționale și online.</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2) Materiale și resurse didactice: </w:t>
      </w:r>
    </w:p>
    <w:tbl>
      <w:tblPr>
        <w:tblStyle w:val="Table9"/>
        <w:tblpPr w:leftFromText="180" w:rightFromText="180" w:topFromText="0" w:bottomFromText="0" w:vertAnchor="text" w:horzAnchor="text" w:tblpX="0" w:tblpY="22"/>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1"/>
          <w:tblHeader w:val="1"/>
        </w:trPr>
        <w:tc>
          <w:tcPr>
            <w:shd w:fill="auto" w:val="cle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p>
        </w:tc>
        <w:tc>
          <w:tcPr>
            <w:shd w:fill="auto" w:val="clea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Nume material/resursă didactică</w:t>
            </w:r>
          </w:p>
        </w:tc>
      </w:tr>
      <w:tr>
        <w:trPr>
          <w:cantSplit w:val="1"/>
          <w:tblHeader w:val="1"/>
        </w:trPr>
        <w:tc>
          <w:tcPr>
            <w:shd w:fill="auto" w:val="clea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w:t>
            </w:r>
          </w:p>
        </w:tc>
        <w:tc>
          <w:tcPr>
            <w:shd w:fill="auto" w:val="clea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Resurse online;</w:t>
            </w:r>
          </w:p>
        </w:tc>
      </w:tr>
      <w:tr>
        <w:trPr>
          <w:cantSplit w:val="1"/>
          <w:tblHeader w:val="1"/>
        </w:trPr>
        <w:tc>
          <w:tcPr>
            <w:shd w:fill="auto" w:val="clea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w:t>
            </w:r>
          </w:p>
        </w:tc>
        <w:tc>
          <w:tcPr>
            <w:shd w:fill="auto" w:val="clea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Materiale in format tipărit si materiale video privind procesele studiate.</w:t>
            </w:r>
          </w:p>
        </w:tc>
      </w:tr>
    </w:tbl>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G. BIBLIOGRAFIE  </w:t>
      </w:r>
      <w:r w:rsidDel="00000000" w:rsidR="00000000" w:rsidRPr="00000000">
        <w:rPr>
          <w:rtl w:val="0"/>
        </w:rPr>
      </w:r>
    </w:p>
    <w:tbl>
      <w:tblPr>
        <w:tblStyle w:val="Table10"/>
        <w:tblpPr w:leftFromText="180" w:rightFromText="180" w:topFromText="0" w:bottomFromText="0" w:vertAnchor="text" w:horzAnchor="text" w:tblpX="0" w:tblpY="1178"/>
        <w:tblW w:w="9802.0" w:type="dxa"/>
        <w:jc w:val="left"/>
        <w:tblInd w:w="-115.0" w:type="dxa"/>
        <w:tblLayout w:type="fixed"/>
        <w:tblLook w:val="0000"/>
      </w:tblPr>
      <w:tblGrid>
        <w:gridCol w:w="802"/>
        <w:gridCol w:w="1980"/>
        <w:gridCol w:w="3060"/>
        <w:gridCol w:w="3960"/>
        <w:tblGridChange w:id="0">
          <w:tblGrid>
            <w:gridCol w:w="802"/>
            <w:gridCol w:w="1980"/>
            <w:gridCol w:w="3060"/>
            <w:gridCol w:w="3960"/>
          </w:tblGrid>
        </w:tblGridChange>
      </w:tblGrid>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Editură/ jurnal/an</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Carta Naţiunilor Unite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ONU, 1945</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NATO în secolul 21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NATO Public Diplomacy Division, 2004</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Tratatul de nonproliferare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ONU, 1968</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Tratatul Nord-Atlantic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NATO, 1949</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Adler, Emmanuel, Barnett, Michael (editori)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Security Communities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Cambridge University Press, 1998</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Baldwin, Daniel A. (editor)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Neorealism şi neoliberalism</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Institutul European, 2010</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Barkin, Samuel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International Organizations Theories and Institutions,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second edition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Palgrave Macmillan, 2013</w:t>
            </w:r>
          </w:p>
        </w:tc>
      </w:tr>
      <w:tr>
        <w:trPr>
          <w:cantSplit w:val="1"/>
          <w:trHeight w:val="690" w:hRule="atLeast"/>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Baylis, John, Smith, Steve, Owens, Patricia (coord.)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Globalization of World Politics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ediţia a noua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Oxford University Press, 2023</w:t>
            </w:r>
          </w:p>
        </w:tc>
      </w:tr>
      <w:tr>
        <w:trPr>
          <w:cantSplit w:val="1"/>
          <w:trHeight w:val="690" w:hRule="atLeast"/>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Bull, Hedley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Societatea anarhică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CEU Press, 1998</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Carpinschi, Anton, Mărgărit, Diana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Organizaţii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Polirom, 2011</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Carlsnaes, Walter E. Risse, Thomas, Simmons, Beth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Handbook of International Relations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Sage, 2002</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Herz, John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„Idealist Internationalism and the Security Dilemma”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World Politics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Vol. 2, No. 2 (Jan., 1950), pp. 157-180</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Kauppi, Mark V., Viotti, Paul 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International Relations Theory</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ediţia a şaptea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Rowman &amp; Littlefield Publishers, 2023</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Keohane, Robert, Nye Joseph 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Putere şi interdependenţă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Polirom, 2009</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Kissinger, Henry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Diplomaţia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All, 2007</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Krasner, Stephen  D. (editor)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International Regimes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Cornell University Press, 1983</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Krasner, Stephen 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Sovereignty: Organized Hypocrisy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Princeton University Press, 1999</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Kupchan, Charles A., Kupchan Clyfford 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Concerts, Collective Security, and the Future of Europe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International Security</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Vol. 16, No. 1 (Summer, 1991), pp. 114-161</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McElroy, Robert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Moralitatea în politica externă americană. Rolul eticii în relaţiile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Paideia, 1999</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Mearsheimer, John J.</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The False Promise of International Institutions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International Security</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19: 3 (Winter, 1994), pp. 5-49.</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Miroiu, Andrei, Ungureanu, Radu-Sebastian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Manual de relaţii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Polirom, 2006</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Morgenthau, Hans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Politica între naţiuni. Lupta pentru putere şi pace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Polirom, 2013</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Nye, Joseph 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Understanding International Conflicts: An Introduction to Theory and History</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ediţia a şaptea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Pearson Longman, 2009</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Rittberger Volker,</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Zangl Bernhard,</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Kruck Andreas,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Dijkstra Hylke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International Organization</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ediţia a treia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Sørensen, Georg, Møller,  Jørgen,  Jackson Robert (coord.)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Introduction to International Relations. Theories and Approaches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ediţia a opta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Oxford University Press, 2022</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Snyder, Glenn 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Alliance Politics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Cornell University Press, 2007</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Ungureanu, Radu Sebastian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et al.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Cooperare şi conflict în Relaţiile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Institutul European, 2021</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Ungureanu, Radu-Sebastian, Cucută, Radu-Alexandru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Moralitate şi violenţă. Perspective asupra comunităţilor politice contemporane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Institutul European, 2019</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Wallace, Helen, Wallace, William, Polack, Mark A. (coord.)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Elaborarea politicilor în Uniunea Europeană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Institutul European din România, 2011</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Walt, Stephen M.</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Originile aliantelor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Polirom, 2008</w:t>
            </w:r>
          </w:p>
        </w:tc>
      </w:tr>
      <w:tr>
        <w:trPr>
          <w:cantSplit w:val="1"/>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30.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Waltz, Kenneth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Teoria politicii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Polirom, 2006</w:t>
            </w:r>
          </w:p>
        </w:tc>
      </w:tr>
      <w:tr>
        <w:trPr>
          <w:cantSplit w:val="1"/>
          <w:trHeight w:val="354" w:hRule="atLeast"/>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31.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Wight, Martin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Politica de Putere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Arc, 1998</w:t>
            </w:r>
          </w:p>
        </w:tc>
      </w:tr>
      <w:tr>
        <w:trPr>
          <w:cantSplit w:val="1"/>
          <w:trHeight w:val="354" w:hRule="atLeast"/>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32.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Williams, Paul D., McDonald, Matt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Security Studies. An Introduction</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ediţia a treia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Routledge, 2018</w:t>
            </w:r>
          </w:p>
        </w:tc>
      </w:tr>
    </w:tbl>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Lect. Univ. Dr. Claudiu Crăciun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smallCaps w:val="0"/>
          <w:strike w:val="0"/>
          <w:color w:val="000000"/>
          <w:u w:val="none"/>
          <w:shd w:fill="auto" w:val="clear"/>
          <w:vertAlign w:val="baseline"/>
          <w:rtl w:val="0"/>
        </w:rPr>
        <w:t xml:space="preserve">Conf. Univ. Dr. Radu Cucută</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bCs w:val="1"/>
      <w:i w:val="0"/>
      <w:iCs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bCs w:val="1"/>
      <w:i w:val="0"/>
      <w:iCs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1"/>
      <w:bCs w:val="1"/>
      <w:i w:val="0"/>
      <w:iCs w:val="0"/>
      <w:smallCaps w:val="0"/>
      <w:strike w:val="0"/>
      <w:color w:val="4f81bd"/>
      <w:sz w:val="22"/>
      <w:szCs w:val="22"/>
      <w:u w:val="none"/>
      <w:shd w:fill="auto" w:val="clear"/>
      <w:vertAlign w:val="baseline"/>
    </w:rPr>
  </w:style>
  <w:style w:type="paragraph" w:styleId="Heading4">
    <w:name w:val="heading 4"/>
    <w:basedOn w:val="Normal"/>
    <w:next w:val="Normal"/>
    <w:pPr>
      <w:keepNext w:val="1"/>
      <w:keepLines w:val="0"/>
      <w:pageBreakBefore w:val="0"/>
      <w:widowControl w:val="1"/>
      <w:pBdr>
        <w:top w:color="000000" w:space="1" w:sz="12" w:val="single"/>
        <w:left w:color="000000" w:space="4" w:sz="12" w:val="single"/>
        <w:bottom w:color="000000" w:space="1" w:sz="12" w:val="single"/>
        <w:right w:color="000000" w:space="4" w:sz="12" w:val="single"/>
        <w:between w:space="0" w:sz="0" w:val="nil"/>
      </w:pBdr>
      <w:shd w:fill="auto" w:val="clear"/>
      <w:spacing w:after="0" w:before="0" w:line="360" w:lineRule="auto"/>
      <w:ind w:left="0" w:right="0" w:firstLine="0"/>
      <w:jc w:val="both"/>
    </w:pPr>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0"/>
      <w:bCs w:val="0"/>
      <w:i w:val="0"/>
      <w:iCs w:val="0"/>
      <w:smallCaps w:val="0"/>
      <w:strike w:val="0"/>
      <w:color w:val="243f6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bCs w:val="1"/>
      <w:i w:val="0"/>
      <w:iCs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bCs w:val="1"/>
      <w:i w:val="0"/>
      <w:iCs w:val="0"/>
      <w:smallCaps w:val="0"/>
      <w:strike w:val="0"/>
      <w:color w:val="000000"/>
      <w:sz w:val="72"/>
      <w:szCs w:val="72"/>
      <w:u w:val="none"/>
      <w:shd w:fill="auto" w:val="clear"/>
      <w:vertAlign w:val="baselin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rsid w:val="00EE481C"/>
    <w:tblPr>
      <w:tblCellMar>
        <w:top w:w="100.0" w:type="dxa"/>
        <w:left w:w="100.0" w:type="dxa"/>
        <w:bottom w:w="100.0" w:type="dxa"/>
        <w:right w:w="100.0" w:type="dxa"/>
      </w:tblCellMar>
    </w:tblPr>
  </w:style>
  <w:style w:type="paragraph" w:styleId="normal0" w:customStyle="1">
    <w:name w:val="normal"/>
    <w:rsid w:val="00EE481C"/>
  </w:style>
  <w:style w:type="paragraph" w:styleId="BalloonText">
    <w:name w:val="Balloon Text"/>
    <w:basedOn w:val="normal0"/>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0"/>
    <w:uiPriority w:val="99"/>
    <w:qFormat w:val="1"/>
    <w:rsid w:val="00071FF9"/>
    <w:pPr>
      <w:ind w:left="720"/>
      <w:contextualSpacing w:val="1"/>
    </w:pPr>
  </w:style>
  <w:style w:type="paragraph" w:styleId="Default" w:customStyle="1">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Header">
    <w:name w:val="header"/>
    <w:basedOn w:val="normal0"/>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0"/>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0"/>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NoSpacing">
    <w:name w:val="No Spacing"/>
    <w:uiPriority w:val="99"/>
    <w:qFormat w:val="1"/>
    <w:rsid w:val="009653E6"/>
    <w:rPr>
      <w:lang w:val="ro-RO"/>
    </w:rPr>
  </w:style>
  <w:style w:type="character" w:styleId="CommentReference">
    <w:name w:val="annotation reference"/>
    <w:basedOn w:val="DefaultParagraphFont"/>
    <w:uiPriority w:val="99"/>
    <w:semiHidden w:val="1"/>
    <w:unhideWhenUsed w:val="1"/>
    <w:rsid w:val="00CD77F6"/>
    <w:rPr>
      <w:sz w:val="16"/>
      <w:szCs w:val="16"/>
    </w:rPr>
  </w:style>
  <w:style w:type="paragraph" w:styleId="CommentText">
    <w:name w:val="annotation text"/>
    <w:basedOn w:val="normal0"/>
    <w:link w:val="CommentTextChar"/>
    <w:uiPriority w:val="99"/>
    <w:semiHidden w:val="1"/>
    <w:unhideWhenUsed w:val="1"/>
    <w:rsid w:val="00CD77F6"/>
    <w:pPr>
      <w:spacing w:line="240" w:lineRule="auto"/>
    </w:pPr>
    <w:rPr>
      <w:sz w:val="20"/>
      <w:szCs w:val="20"/>
    </w:rPr>
  </w:style>
  <w:style w:type="character" w:styleId="CommentTextChar" w:customStyle="1">
    <w:name w:val="Comment Text Char"/>
    <w:basedOn w:val="DefaultParagraphFont"/>
    <w:link w:val="CommentText"/>
    <w:uiPriority w:val="99"/>
    <w:semiHidden w:val="1"/>
    <w:rsid w:val="00CD77F6"/>
    <w:rPr>
      <w:lang w:val="ro-RO"/>
    </w:rPr>
  </w:style>
  <w:style w:type="table" w:styleId="a" w:customStyle="1">
    <w:basedOn w:val="TableNormal"/>
    <w:rsid w:val="00EE481C"/>
    <w:tblPr>
      <w:tblStyleRowBandSize w:val="1"/>
      <w:tblStyleColBandSize w:val="1"/>
      <w:tblInd w:w="0.0" w:type="dxa"/>
      <w:tblCellMar>
        <w:top w:w="0.0" w:type="dxa"/>
        <w:left w:w="115.0" w:type="dxa"/>
        <w:bottom w:w="0.0" w:type="dxa"/>
        <w:right w:w="115.0" w:type="dxa"/>
      </w:tblCellMar>
    </w:tblPr>
  </w:style>
  <w:style w:type="table" w:styleId="a0" w:customStyle="1">
    <w:basedOn w:val="TableNormal"/>
    <w:rsid w:val="00EE481C"/>
    <w:tblPr>
      <w:tblStyleRowBandSize w:val="1"/>
      <w:tblStyleColBandSize w:val="1"/>
      <w:tblInd w:w="0.0" w:type="dxa"/>
      <w:tblCellMar>
        <w:top w:w="0.0" w:type="dxa"/>
        <w:left w:w="115.0" w:type="dxa"/>
        <w:bottom w:w="0.0" w:type="dxa"/>
        <w:right w:w="115.0" w:type="dxa"/>
      </w:tblCellMar>
    </w:tblPr>
  </w:style>
  <w:style w:type="table" w:styleId="a1" w:customStyle="1">
    <w:basedOn w:val="TableNormal"/>
    <w:rsid w:val="00EE481C"/>
    <w:tblPr>
      <w:tblStyleRowBandSize w:val="1"/>
      <w:tblStyleColBandSize w:val="1"/>
      <w:tblInd w:w="0.0" w:type="dxa"/>
      <w:tblCellMar>
        <w:top w:w="0.0" w:type="dxa"/>
        <w:left w:w="108.0" w:type="dxa"/>
        <w:bottom w:w="0.0" w:type="dxa"/>
        <w:right w:w="108.0" w:type="dxa"/>
      </w:tblCellMar>
    </w:tblPr>
  </w:style>
  <w:style w:type="table" w:styleId="a2" w:customStyle="1">
    <w:basedOn w:val="TableNormal"/>
    <w:rsid w:val="00EE481C"/>
    <w:tblPr>
      <w:tblStyleRowBandSize w:val="1"/>
      <w:tblStyleColBandSize w:val="1"/>
      <w:tblInd w:w="0.0" w:type="dxa"/>
      <w:tblCellMar>
        <w:top w:w="0.0" w:type="dxa"/>
        <w:left w:w="108.0" w:type="dxa"/>
        <w:bottom w:w="0.0" w:type="dxa"/>
        <w:right w:w="108.0" w:type="dxa"/>
      </w:tblCellMar>
    </w:tblPr>
  </w:style>
  <w:style w:type="table" w:styleId="a3" w:customStyle="1">
    <w:basedOn w:val="TableNormal"/>
    <w:rsid w:val="00EE481C"/>
    <w:tblPr>
      <w:tblStyleRowBandSize w:val="1"/>
      <w:tblStyleColBandSize w:val="1"/>
      <w:tblInd w:w="0.0" w:type="dxa"/>
      <w:tblCellMar>
        <w:top w:w="0.0" w:type="dxa"/>
        <w:left w:w="115.0" w:type="dxa"/>
        <w:bottom w:w="0.0" w:type="dxa"/>
        <w:right w:w="115.0" w:type="dxa"/>
      </w:tblCellMar>
    </w:tblPr>
  </w:style>
  <w:style w:type="table" w:styleId="a4" w:customStyle="1">
    <w:basedOn w:val="TableNormal"/>
    <w:rsid w:val="00EE481C"/>
    <w:tblPr>
      <w:tblStyleRowBandSize w:val="1"/>
      <w:tblStyleColBandSize w:val="1"/>
      <w:tblInd w:w="0.0" w:type="dxa"/>
      <w:tblCellMar>
        <w:top w:w="0.0" w:type="dxa"/>
        <w:left w:w="115.0" w:type="dxa"/>
        <w:bottom w:w="0.0" w:type="dxa"/>
        <w:right w:w="115.0" w:type="dxa"/>
      </w:tblCellMar>
    </w:tblPr>
  </w:style>
  <w:style w:type="table" w:styleId="a5" w:customStyle="1">
    <w:basedOn w:val="TableNormal"/>
    <w:rsid w:val="00EE481C"/>
    <w:tblPr>
      <w:tblStyleRowBandSize w:val="1"/>
      <w:tblStyleColBandSize w:val="1"/>
      <w:tblInd w:w="0.0" w:type="dxa"/>
      <w:tblCellMar>
        <w:top w:w="0.0" w:type="dxa"/>
        <w:left w:w="115.0" w:type="dxa"/>
        <w:bottom w:w="0.0" w:type="dxa"/>
        <w:right w:w="115.0" w:type="dxa"/>
      </w:tblCellMar>
    </w:tblPr>
  </w:style>
  <w:style w:type="table" w:styleId="a6" w:customStyle="1">
    <w:basedOn w:val="TableNormal"/>
    <w:rsid w:val="00EE481C"/>
    <w:tblPr>
      <w:tblStyleRowBandSize w:val="1"/>
      <w:tblStyleColBandSize w:val="1"/>
      <w:tblInd w:w="0.0" w:type="dxa"/>
      <w:tblCellMar>
        <w:top w:w="0.0" w:type="dxa"/>
        <w:left w:w="115.0" w:type="dxa"/>
        <w:bottom w:w="0.0" w:type="dxa"/>
        <w:right w:w="115.0" w:type="dxa"/>
      </w:tblCellMar>
    </w:tblPr>
  </w:style>
  <w:style w:type="table" w:styleId="a7" w:customStyle="1">
    <w:basedOn w:val="TableNormal"/>
    <w:rsid w:val="00EE481C"/>
    <w:tblPr>
      <w:tblStyleRowBandSize w:val="1"/>
      <w:tblStyleColBandSize w:val="1"/>
      <w:tblInd w:w="0.0" w:type="dxa"/>
      <w:tblCellMar>
        <w:top w:w="0.0" w:type="dxa"/>
        <w:left w:w="115.0" w:type="dxa"/>
        <w:bottom w:w="0.0" w:type="dxa"/>
        <w:right w:w="115.0" w:type="dxa"/>
      </w:tblCellMar>
    </w:tblPr>
  </w:style>
  <w:style w:type="table" w:styleId="a8" w:customStyle="1">
    <w:basedOn w:val="TableNormal"/>
    <w:rsid w:val="00EE481C"/>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bCs w:val="0"/>
      <w:i w:val="1"/>
      <w:iCs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dmJxkTOAr5lMG6vS8SF4K37Ntw==">CgMxLjA4AHIhMUhxRnU5c1RaR3o4V0lJSEVqRUpPQnk1UzdBZVg1OVRY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2020-11-12T12:21:00Z</dcterms:created>
  <dc:creator>33</dc:creator>
</cp:coreProperties>
</file>